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</w:tcPr>
          <w:p w14:paraId="2CF32F11" w14:textId="4171F07D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</w:p>
          <w:p w14:paraId="5B6B1584" w14:textId="16EA9F90" w:rsidR="00E53254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November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61D2996D" w14:textId="77777777" w:rsid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Head of ITT and administration department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</w:t>
            </w:r>
          </w:p>
          <w:p w14:paraId="66109677" w14:textId="029762A3" w:rsidR="007A5B61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No.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</w:tcPr>
          <w:p w14:paraId="72C33E65" w14:textId="2D66C33C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703688E5" w:rsidR="007A5B61" w:rsidRPr="00905E8E" w:rsidRDefault="008C0CA9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15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6E495879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051611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24NU-549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12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50DDA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2.75pt">
                  <v:imagedata r:id="rId13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50DDA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75pt;height:12.75pt">
                  <v:imagedata r:id="rId13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vAlign w:val="center"/>
          </w:tcPr>
          <w:p w14:paraId="7BFCDDE4" w14:textId="2794E5B9" w:rsidR="004C75AF" w:rsidRPr="00905E8E" w:rsidRDefault="004C75AF" w:rsidP="006D068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vAlign w:val="center"/>
          </w:tcPr>
          <w:p w14:paraId="485EC726" w14:textId="77777777" w:rsidR="001F691B" w:rsidRDefault="001F691B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AC412D5" w14:textId="1E65F46D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672A63E8" w14:textId="108BA4AF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4D5648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Electromagnetic emission </w:t>
            </w:r>
            <w:r w:rsidR="004D5648">
              <w:rPr>
                <w:rFonts w:ascii="Trebuchet MS" w:hAnsi="Trebuchet MS" w:cs="Tahoma"/>
                <w:sz w:val="20"/>
                <w:szCs w:val="20"/>
              </w:rPr>
              <w:t xml:space="preserve">immunity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parameters not lower than in the standards referenced by IEC 61850-3 standard</w:t>
            </w:r>
          </w:p>
        </w:tc>
        <w:tc>
          <w:tcPr>
            <w:tcW w:w="1270" w:type="pct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vAlign w:val="center"/>
          </w:tcPr>
          <w:p w14:paraId="2CD6C033" w14:textId="63DA10A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04A8496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 xml:space="preserve">project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A748F12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The parameters referred to the standard paragraph or table are detailed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>project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4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0DDA"/>
    <w:rsid w:val="00051611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7F8C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545"/>
    <w:rsid w:val="00107CAC"/>
    <w:rsid w:val="00110118"/>
    <w:rsid w:val="001130BF"/>
    <w:rsid w:val="001134B0"/>
    <w:rsid w:val="001134CA"/>
    <w:rsid w:val="0011525A"/>
    <w:rsid w:val="00116A96"/>
    <w:rsid w:val="00117CC4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4A23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691B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59C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6D86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5648"/>
    <w:rsid w:val="004D724B"/>
    <w:rsid w:val="004E0840"/>
    <w:rsid w:val="004E16BA"/>
    <w:rsid w:val="004E262F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4F50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16C47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28B4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AD7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683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7FC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AB1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0CA9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814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3BDF"/>
    <w:rsid w:val="00A64725"/>
    <w:rsid w:val="00A675C9"/>
    <w:rsid w:val="00A70C33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6AB5"/>
    <w:rsid w:val="00BC72C1"/>
    <w:rsid w:val="00BC7468"/>
    <w:rsid w:val="00BC7E91"/>
    <w:rsid w:val="00BC7FB6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4DF"/>
    <w:rsid w:val="00C62DEC"/>
    <w:rsid w:val="00C6323B"/>
    <w:rsid w:val="00C6377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0633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8E6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254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55A1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lt/search?q=EN+50022&amp;tbm=isch&amp;tbo=u&amp;source=univ&amp;sa=X&amp;ved=0CCkQsARqFQoTCLfUzObelckCFcOMLAodXlcGn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rekonstravimas/_layouts/15/DocIdRedir.aspx?ID=PVIS-404251543-265</Url>
      <Description>PVIS-404251543-265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PVIS-404251543-265</_dlc_DocId>
    <_dlc_DocIdPersistId xmlns="58896280-883f-49e1-8f2c-86b01e3ff6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6A086C-5CDF-4209-A8FB-DAC16DA5FCF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138B8BC-D3C2-421E-9083-1E12AF1CD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F51A7-82A6-4571-8C47-D85988EDCDC6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FF0D7E-9807-4668-BBD5-FA28713099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6397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10024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Regimantas Krikštaponis</cp:lastModifiedBy>
  <cp:revision>13</cp:revision>
  <cp:lastPrinted>2016-04-28T11:21:00Z</cp:lastPrinted>
  <dcterms:created xsi:type="dcterms:W3CDTF">2024-10-29T10:07:00Z</dcterms:created>
  <dcterms:modified xsi:type="dcterms:W3CDTF">2025-11-03T16:10:00Z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8a50f443-628d-4dc2-ace6-b982c357d23e</vt:lpwstr>
  </property>
</Properties>
</file>